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40" w:rsidRDefault="00815140">
      <w:bookmarkStart w:id="0" w:name="_GoBack"/>
      <w:bookmarkEnd w:id="0"/>
    </w:p>
    <w:tbl>
      <w:tblPr>
        <w:tblStyle w:val="TableGrid"/>
        <w:tblW w:w="0" w:type="auto"/>
        <w:tblLayout w:type="fixed"/>
        <w:tblLook w:val="01E0" w:firstRow="1" w:lastRow="1" w:firstColumn="1" w:lastColumn="1" w:noHBand="0" w:noVBand="0"/>
      </w:tblPr>
      <w:tblGrid>
        <w:gridCol w:w="1575"/>
        <w:gridCol w:w="1575"/>
        <w:gridCol w:w="1575"/>
        <w:gridCol w:w="1575"/>
        <w:gridCol w:w="1575"/>
        <w:gridCol w:w="1575"/>
        <w:gridCol w:w="1575"/>
        <w:gridCol w:w="1575"/>
        <w:gridCol w:w="1576"/>
      </w:tblGrid>
      <w:tr w:rsidR="007423C5">
        <w:tc>
          <w:tcPr>
            <w:tcW w:w="14176" w:type="dxa"/>
            <w:gridSpan w:val="9"/>
          </w:tcPr>
          <w:p w:rsidR="007423C5" w:rsidRPr="007423C5" w:rsidRDefault="007423C5" w:rsidP="007423C5">
            <w:pPr>
              <w:jc w:val="center"/>
              <w:rPr>
                <w:b/>
              </w:rPr>
            </w:pPr>
            <w:r w:rsidRPr="007423C5">
              <w:rPr>
                <w:b/>
              </w:rPr>
              <w:t>RECOMMENDED LENGTH OF TIME FOR IMPLEMENTING WALKING TALKING TEXTS UNITS OF WORK</w:t>
            </w:r>
          </w:p>
        </w:tc>
      </w:tr>
      <w:tr w:rsidR="00281750">
        <w:tc>
          <w:tcPr>
            <w:tcW w:w="14176" w:type="dxa"/>
            <w:gridSpan w:val="9"/>
          </w:tcPr>
          <w:p w:rsidR="00281750" w:rsidRPr="000B27FD" w:rsidRDefault="00281750" w:rsidP="0020088F">
            <w:pPr>
              <w:shd w:val="clear" w:color="auto" w:fill="C0C0C0"/>
              <w:tabs>
                <w:tab w:val="left" w:pos="12960"/>
              </w:tabs>
              <w:ind w:left="540" w:right="1000"/>
              <w:jc w:val="both"/>
              <w:rPr>
                <w:sz w:val="28"/>
                <w:szCs w:val="28"/>
              </w:rPr>
            </w:pPr>
            <w:r w:rsidRPr="000B27FD">
              <w:rPr>
                <w:b/>
                <w:sz w:val="28"/>
                <w:szCs w:val="28"/>
              </w:rPr>
              <w:t>Walking Talking Texts</w:t>
            </w:r>
            <w:r w:rsidRPr="000B27FD">
              <w:rPr>
                <w:sz w:val="28"/>
                <w:szCs w:val="28"/>
              </w:rPr>
              <w:t xml:space="preserve"> involves teaching units of work</w:t>
            </w:r>
            <w:r w:rsidR="008963A5" w:rsidRPr="000B27FD">
              <w:rPr>
                <w:sz w:val="28"/>
                <w:szCs w:val="28"/>
              </w:rPr>
              <w:t xml:space="preserve"> through an ESL pedagogy</w:t>
            </w:r>
            <w:r w:rsidR="008963A5" w:rsidRPr="000B27FD">
              <w:rPr>
                <w:rStyle w:val="FootnoteReference"/>
                <w:sz w:val="28"/>
                <w:szCs w:val="28"/>
              </w:rPr>
              <w:footnoteReference w:id="1"/>
            </w:r>
            <w:r w:rsidRPr="000B27FD">
              <w:rPr>
                <w:sz w:val="28"/>
                <w:szCs w:val="28"/>
              </w:rPr>
              <w:t xml:space="preserve"> using a written text as the stimulus and framework for the study </w:t>
            </w:r>
            <w:r w:rsidR="0020088F" w:rsidRPr="000B27FD">
              <w:rPr>
                <w:sz w:val="28"/>
                <w:szCs w:val="28"/>
              </w:rPr>
              <w:t xml:space="preserve">of </w:t>
            </w:r>
            <w:r w:rsidR="008963A5" w:rsidRPr="000B27FD">
              <w:rPr>
                <w:sz w:val="28"/>
                <w:szCs w:val="28"/>
              </w:rPr>
              <w:t xml:space="preserve">spoken and written </w:t>
            </w:r>
            <w:r w:rsidR="0020088F" w:rsidRPr="000B27FD">
              <w:rPr>
                <w:sz w:val="28"/>
                <w:szCs w:val="28"/>
              </w:rPr>
              <w:t>English language in order to:</w:t>
            </w:r>
          </w:p>
          <w:p w:rsidR="00FE580E" w:rsidRPr="00FE580E" w:rsidRDefault="00281750" w:rsidP="00FE580E">
            <w:pPr>
              <w:numPr>
                <w:ilvl w:val="0"/>
                <w:numId w:val="1"/>
              </w:numPr>
              <w:shd w:val="clear" w:color="auto" w:fill="C0C0C0"/>
              <w:tabs>
                <w:tab w:val="clear" w:pos="3780"/>
                <w:tab w:val="num" w:pos="1080"/>
                <w:tab w:val="left" w:pos="12960"/>
              </w:tabs>
              <w:ind w:left="540" w:right="1000" w:firstLine="0"/>
              <w:jc w:val="both"/>
              <w:rPr>
                <w:sz w:val="28"/>
                <w:szCs w:val="28"/>
              </w:rPr>
            </w:pPr>
            <w:r w:rsidRPr="000B27FD">
              <w:rPr>
                <w:b/>
                <w:sz w:val="28"/>
                <w:szCs w:val="28"/>
              </w:rPr>
              <w:t>learn more English</w:t>
            </w:r>
          </w:p>
          <w:p w:rsidR="00FE580E" w:rsidRDefault="00FE580E" w:rsidP="00FE580E">
            <w:pPr>
              <w:shd w:val="clear" w:color="auto" w:fill="C0C0C0"/>
              <w:tabs>
                <w:tab w:val="left" w:pos="12960"/>
              </w:tabs>
              <w:ind w:left="540" w:right="1000"/>
              <w:jc w:val="both"/>
              <w:rPr>
                <w:sz w:val="28"/>
                <w:szCs w:val="28"/>
              </w:rPr>
            </w:pPr>
          </w:p>
          <w:p w:rsidR="00FE580E" w:rsidRDefault="008963A5" w:rsidP="00FE580E">
            <w:pPr>
              <w:numPr>
                <w:ilvl w:val="0"/>
                <w:numId w:val="1"/>
              </w:numPr>
              <w:shd w:val="clear" w:color="auto" w:fill="C0C0C0"/>
              <w:tabs>
                <w:tab w:val="clear" w:pos="3780"/>
                <w:tab w:val="num" w:pos="1080"/>
                <w:tab w:val="left" w:pos="12960"/>
              </w:tabs>
              <w:ind w:left="540" w:right="1000" w:firstLine="0"/>
              <w:jc w:val="both"/>
              <w:rPr>
                <w:sz w:val="28"/>
                <w:szCs w:val="28"/>
              </w:rPr>
            </w:pPr>
            <w:r w:rsidRPr="000B27FD">
              <w:rPr>
                <w:sz w:val="28"/>
                <w:szCs w:val="28"/>
              </w:rPr>
              <w:t xml:space="preserve">deconstruct and </w:t>
            </w:r>
            <w:r w:rsidR="00281750" w:rsidRPr="000B27FD">
              <w:rPr>
                <w:sz w:val="28"/>
                <w:szCs w:val="28"/>
              </w:rPr>
              <w:t xml:space="preserve">practice using </w:t>
            </w:r>
            <w:r w:rsidRPr="000B27FD">
              <w:rPr>
                <w:sz w:val="28"/>
                <w:szCs w:val="28"/>
              </w:rPr>
              <w:t xml:space="preserve">(reconstruct) </w:t>
            </w:r>
            <w:r w:rsidR="00281750" w:rsidRPr="000B27FD">
              <w:rPr>
                <w:sz w:val="28"/>
                <w:szCs w:val="28"/>
              </w:rPr>
              <w:t xml:space="preserve">the language in the text in a variety of ways to learn </w:t>
            </w:r>
            <w:r w:rsidR="000B27FD">
              <w:rPr>
                <w:b/>
                <w:sz w:val="28"/>
                <w:szCs w:val="28"/>
              </w:rPr>
              <w:t xml:space="preserve">how                                                              </w:t>
            </w:r>
            <w:r w:rsidR="00FE580E">
              <w:rPr>
                <w:b/>
                <w:sz w:val="28"/>
                <w:szCs w:val="28"/>
              </w:rPr>
              <w:t xml:space="preserve"> </w:t>
            </w:r>
          </w:p>
          <w:p w:rsidR="00FE580E" w:rsidRDefault="00FE580E" w:rsidP="00FE580E">
            <w:pPr>
              <w:shd w:val="clear" w:color="auto" w:fill="C0C0C0"/>
              <w:tabs>
                <w:tab w:val="left" w:pos="12960"/>
              </w:tabs>
              <w:ind w:left="540" w:right="1000"/>
              <w:jc w:val="both"/>
              <w:rPr>
                <w:b/>
                <w:sz w:val="28"/>
                <w:szCs w:val="28"/>
              </w:rPr>
            </w:pPr>
            <w:r>
              <w:rPr>
                <w:sz w:val="28"/>
                <w:szCs w:val="28"/>
              </w:rPr>
              <w:t xml:space="preserve">        </w:t>
            </w:r>
            <w:r w:rsidR="00281750" w:rsidRPr="000B27FD">
              <w:rPr>
                <w:b/>
                <w:sz w:val="28"/>
                <w:szCs w:val="28"/>
              </w:rPr>
              <w:t>English works</w:t>
            </w:r>
            <w:r w:rsidR="008963A5" w:rsidRPr="000B27FD">
              <w:rPr>
                <w:b/>
                <w:sz w:val="28"/>
                <w:szCs w:val="28"/>
              </w:rPr>
              <w:t xml:space="preserve"> and </w:t>
            </w:r>
            <w:r w:rsidR="00281750" w:rsidRPr="000B27FD">
              <w:rPr>
                <w:b/>
                <w:sz w:val="28"/>
                <w:szCs w:val="28"/>
              </w:rPr>
              <w:t>to understand English</w:t>
            </w:r>
            <w:r w:rsidR="008963A5" w:rsidRPr="000B27FD">
              <w:rPr>
                <w:b/>
                <w:sz w:val="28"/>
                <w:szCs w:val="28"/>
              </w:rPr>
              <w:t xml:space="preserve"> in its</w:t>
            </w:r>
            <w:r w:rsidR="008963A5" w:rsidRPr="000B27FD">
              <w:rPr>
                <w:sz w:val="28"/>
                <w:szCs w:val="28"/>
              </w:rPr>
              <w:t xml:space="preserve"> </w:t>
            </w:r>
            <w:r w:rsidR="008963A5" w:rsidRPr="000B27FD">
              <w:rPr>
                <w:b/>
                <w:sz w:val="28"/>
                <w:szCs w:val="28"/>
              </w:rPr>
              <w:t>socio-cultural context, and to</w:t>
            </w:r>
          </w:p>
          <w:p w:rsidR="00FE580E" w:rsidRPr="00FE580E" w:rsidRDefault="00FE580E" w:rsidP="00FE580E">
            <w:pPr>
              <w:shd w:val="clear" w:color="auto" w:fill="C0C0C0"/>
              <w:tabs>
                <w:tab w:val="left" w:pos="12960"/>
              </w:tabs>
              <w:ind w:left="540" w:right="1000"/>
              <w:jc w:val="both"/>
              <w:rPr>
                <w:b/>
                <w:sz w:val="28"/>
                <w:szCs w:val="28"/>
              </w:rPr>
            </w:pPr>
          </w:p>
          <w:p w:rsidR="00281750" w:rsidRPr="000B27FD" w:rsidRDefault="009A23A7" w:rsidP="000B27FD">
            <w:pPr>
              <w:numPr>
                <w:ilvl w:val="0"/>
                <w:numId w:val="1"/>
              </w:numPr>
              <w:shd w:val="clear" w:color="auto" w:fill="C0C0C0"/>
              <w:tabs>
                <w:tab w:val="clear" w:pos="3780"/>
                <w:tab w:val="num" w:pos="1080"/>
                <w:tab w:val="left" w:pos="12960"/>
              </w:tabs>
              <w:ind w:left="540" w:right="1000" w:firstLine="0"/>
              <w:jc w:val="both"/>
              <w:rPr>
                <w:sz w:val="28"/>
                <w:szCs w:val="28"/>
              </w:rPr>
            </w:pPr>
            <w:r w:rsidRPr="000B27FD">
              <w:rPr>
                <w:b/>
                <w:sz w:val="28"/>
                <w:szCs w:val="28"/>
              </w:rPr>
              <w:t>use</w:t>
            </w:r>
            <w:r w:rsidR="00281750" w:rsidRPr="000B27FD">
              <w:rPr>
                <w:b/>
                <w:sz w:val="28"/>
                <w:szCs w:val="28"/>
              </w:rPr>
              <w:t xml:space="preserve"> the learned English, </w:t>
            </w:r>
            <w:r w:rsidRPr="000B27FD">
              <w:rPr>
                <w:b/>
                <w:sz w:val="28"/>
                <w:szCs w:val="28"/>
              </w:rPr>
              <w:t xml:space="preserve">as </w:t>
            </w:r>
            <w:r w:rsidR="00281750" w:rsidRPr="000B27FD">
              <w:rPr>
                <w:b/>
                <w:sz w:val="28"/>
                <w:szCs w:val="28"/>
              </w:rPr>
              <w:t>applied to and explored</w:t>
            </w:r>
            <w:r w:rsidRPr="000B27FD">
              <w:rPr>
                <w:sz w:val="28"/>
                <w:szCs w:val="28"/>
              </w:rPr>
              <w:t xml:space="preserve"> through other Learning Areas to achieve outcomes in the </w:t>
            </w:r>
            <w:r w:rsidR="0020088F" w:rsidRPr="000B27FD">
              <w:rPr>
                <w:sz w:val="28"/>
                <w:szCs w:val="28"/>
              </w:rPr>
              <w:t>knowledge</w:t>
            </w:r>
            <w:r w:rsidR="000B27FD">
              <w:rPr>
                <w:sz w:val="28"/>
                <w:szCs w:val="28"/>
              </w:rPr>
              <w:t xml:space="preserve"> </w:t>
            </w:r>
            <w:r w:rsidRPr="000B27FD">
              <w:rPr>
                <w:sz w:val="28"/>
                <w:szCs w:val="28"/>
              </w:rPr>
              <w:t xml:space="preserve">and skills of those </w:t>
            </w:r>
            <w:r w:rsidR="0020088F" w:rsidRPr="000B27FD">
              <w:rPr>
                <w:sz w:val="28"/>
                <w:szCs w:val="28"/>
              </w:rPr>
              <w:t>Learning A</w:t>
            </w:r>
            <w:r w:rsidRPr="000B27FD">
              <w:rPr>
                <w:sz w:val="28"/>
                <w:szCs w:val="28"/>
              </w:rPr>
              <w:t>reas</w:t>
            </w:r>
            <w:r w:rsidR="008963A5" w:rsidRPr="000B27FD">
              <w:rPr>
                <w:sz w:val="28"/>
                <w:szCs w:val="28"/>
              </w:rPr>
              <w:t xml:space="preserve"> at cognitive levels appropriate for the age of the learners.</w:t>
            </w:r>
          </w:p>
          <w:p w:rsidR="00281750" w:rsidRDefault="00281750" w:rsidP="003D48E7"/>
          <w:p w:rsidR="00281750" w:rsidRDefault="00281750" w:rsidP="003D48E7">
            <w:r>
              <w:t xml:space="preserve">In order to achieve this in a unit of work, </w:t>
            </w:r>
            <w:r w:rsidRPr="009271DD">
              <w:rPr>
                <w:b/>
                <w:i/>
              </w:rPr>
              <w:t>all</w:t>
            </w:r>
            <w:r>
              <w:t xml:space="preserve"> of the activities and exercises in WTT need to be implemented by introducing them </w:t>
            </w:r>
            <w:r w:rsidRPr="009271DD">
              <w:rPr>
                <w:b/>
                <w:i/>
              </w:rPr>
              <w:t xml:space="preserve">in the sequence </w:t>
            </w:r>
            <w:r>
              <w:t>in which they appear in the petal and column planners.</w:t>
            </w:r>
          </w:p>
          <w:p w:rsidR="00281750" w:rsidRDefault="00281750" w:rsidP="003D48E7"/>
          <w:p w:rsidR="00281750" w:rsidRDefault="00281750" w:rsidP="003D48E7">
            <w:r>
              <w:t xml:space="preserve">In doing so, it is important that the </w:t>
            </w:r>
            <w:r w:rsidRPr="00FF7652">
              <w:rPr>
                <w:b/>
                <w:i/>
              </w:rPr>
              <w:t>pace</w:t>
            </w:r>
            <w:r>
              <w:t xml:space="preserve"> of units of work is </w:t>
            </w:r>
            <w:r w:rsidRPr="00FF7652">
              <w:rPr>
                <w:b/>
                <w:i/>
              </w:rPr>
              <w:t>BRISK and THOROUGH</w:t>
            </w:r>
            <w:r>
              <w:t>.</w:t>
            </w:r>
          </w:p>
          <w:p w:rsidR="00281750" w:rsidRDefault="00281750" w:rsidP="003D48E7"/>
          <w:p w:rsidR="00281750" w:rsidRDefault="00281750" w:rsidP="003D48E7">
            <w:r w:rsidRPr="00FF7652">
              <w:rPr>
                <w:b/>
                <w:i/>
              </w:rPr>
              <w:t>Brisk</w:t>
            </w:r>
            <w:r>
              <w:t xml:space="preserve"> in the sense that learning remains dynamic and interesting. The methodology of WTT provides for the natural repetition of the introduced and learned English as the activities and exercises are implemented. For example, if only one unit of work per term </w:t>
            </w:r>
            <w:r w:rsidR="000B27FD">
              <w:t>were to be</w:t>
            </w:r>
            <w:r>
              <w:t xml:space="preserve"> implemented in the Early Childhood Years the natural cycle of repetition of similar linguistic structures and features in a variety of contexts for different purposes is not possible, thus inhibiting </w:t>
            </w:r>
            <w:r w:rsidR="009A23A7">
              <w:t>language</w:t>
            </w:r>
            <w:r>
              <w:t xml:space="preserve"> learning. While the upper Primary, Middle Years and Senior Secondary units of work need to extend for the recommended length of times in the left had column in order to engage in the greater (in complexity and volume) linguistic demands of higher order thinking and application skills as determined by the curriculum outcomes at this level of schooling.</w:t>
            </w:r>
          </w:p>
          <w:p w:rsidR="00281750" w:rsidRDefault="00281750" w:rsidP="003D48E7"/>
          <w:p w:rsidR="00281750" w:rsidRDefault="00281750" w:rsidP="003D48E7">
            <w:r w:rsidRPr="00815140">
              <w:rPr>
                <w:b/>
                <w:i/>
              </w:rPr>
              <w:t>Thorough</w:t>
            </w:r>
            <w:r>
              <w:t xml:space="preserve"> in the sense that whilst each activity and exercise needs to be implemented, there is no need to wait until all students have achieved 100% success at each activity and exercise before moving on to the next one, as the previous explanation of the </w:t>
            </w:r>
            <w:r w:rsidRPr="009A23A7">
              <w:rPr>
                <w:i/>
              </w:rPr>
              <w:t>power of repetition with variety</w:t>
            </w:r>
            <w:r w:rsidR="009A23A7" w:rsidRPr="009A23A7">
              <w:rPr>
                <w:i/>
              </w:rPr>
              <w:t>,</w:t>
            </w:r>
            <w:r>
              <w:t xml:space="preserve"> reflects </w:t>
            </w:r>
            <w:r w:rsidR="009A23A7">
              <w:t xml:space="preserve">one of </w:t>
            </w:r>
            <w:r>
              <w:t>the</w:t>
            </w:r>
            <w:r w:rsidR="009A23A7">
              <w:t xml:space="preserve"> theoretical underpinnings</w:t>
            </w:r>
            <w:r>
              <w:t xml:space="preserve"> of language learning </w:t>
            </w:r>
            <w:r w:rsidR="009A23A7">
              <w:t xml:space="preserve">in </w:t>
            </w:r>
            <w:r>
              <w:t>WTT.</w:t>
            </w:r>
          </w:p>
          <w:p w:rsidR="00281750" w:rsidRDefault="00281750" w:rsidP="003D48E7"/>
          <w:p w:rsidR="000B27FD" w:rsidRDefault="00281750" w:rsidP="003D48E7">
            <w:r>
              <w:lastRenderedPageBreak/>
              <w:t xml:space="preserve">The organisation of the number of activities </w:t>
            </w:r>
            <w:r w:rsidR="00D76BFA">
              <w:t xml:space="preserve">and </w:t>
            </w:r>
            <w:r>
              <w:t xml:space="preserve">exercises to implement </w:t>
            </w:r>
            <w:r w:rsidRPr="00281750">
              <w:rPr>
                <w:b/>
                <w:i/>
              </w:rPr>
              <w:t>in any one day</w:t>
            </w:r>
            <w:r>
              <w:t xml:space="preserve"> is dependent upon the level of schooling (level of text and applied learning in the unit of work). </w:t>
            </w:r>
            <w:r w:rsidR="006A3F8B">
              <w:t xml:space="preserve"> </w:t>
            </w:r>
          </w:p>
          <w:p w:rsidR="000B27FD" w:rsidRDefault="000B27FD" w:rsidP="003D48E7"/>
          <w:p w:rsidR="00281750" w:rsidRDefault="006A3F8B" w:rsidP="003D48E7">
            <w:r w:rsidRPr="000B27FD">
              <w:rPr>
                <w:b/>
                <w:i/>
              </w:rPr>
              <w:t>The alphabetical and numerical sequences do not represent an activity/exercise per day.</w:t>
            </w:r>
          </w:p>
          <w:p w:rsidR="00281750" w:rsidRDefault="00281750" w:rsidP="003D48E7"/>
          <w:p w:rsidR="00281750" w:rsidRDefault="009A23A7" w:rsidP="003D48E7">
            <w:r>
              <w:t>When a new text</w:t>
            </w:r>
            <w:r w:rsidR="008963A5">
              <w:t>/unit</w:t>
            </w:r>
            <w:r>
              <w:t xml:space="preserve"> is </w:t>
            </w:r>
            <w:r w:rsidR="00D76BFA">
              <w:t>begun</w:t>
            </w:r>
            <w:r>
              <w:t xml:space="preserve"> in weeks 7 – 10 of a </w:t>
            </w:r>
            <w:r w:rsidR="000B27FD">
              <w:t xml:space="preserve">10 week </w:t>
            </w:r>
            <w:r>
              <w:t xml:space="preserve">term, </w:t>
            </w:r>
            <w:r w:rsidR="000B27FD">
              <w:t>return to the same unit of work the next term</w:t>
            </w:r>
            <w:r>
              <w:t xml:space="preserve">: on return to school, take up where the teaching-learning program left off, with a short review of what learners did before (classroom language flood walk). </w:t>
            </w:r>
          </w:p>
          <w:p w:rsidR="00281750" w:rsidRDefault="00281750" w:rsidP="003D48E7">
            <w:r>
              <w:t>You will be surprised at how quickly learners remember what they did before the break!</w:t>
            </w:r>
          </w:p>
          <w:p w:rsidR="00281750" w:rsidRDefault="00281750" w:rsidP="003D48E7"/>
          <w:p w:rsidR="00281750" w:rsidRDefault="00281750" w:rsidP="003D48E7">
            <w:r>
              <w:t xml:space="preserve">Many teachers comment that the holidays cause learners to ‘forget’ what they learnt before. </w:t>
            </w:r>
            <w:r w:rsidR="009A23A7">
              <w:t xml:space="preserve">This can appear to happen when the material being introduced after a longer break is new, involving added concentration as well as re-orientation to school. </w:t>
            </w:r>
            <w:r>
              <w:t>Continuing with the same unit can actually offset this!</w:t>
            </w:r>
          </w:p>
          <w:p w:rsidR="00281750" w:rsidRDefault="00281750" w:rsidP="003D48E7"/>
        </w:tc>
      </w:tr>
      <w:tr w:rsidR="00815140">
        <w:tc>
          <w:tcPr>
            <w:tcW w:w="14176" w:type="dxa"/>
            <w:gridSpan w:val="9"/>
            <w:shd w:val="clear" w:color="auto" w:fill="CCCCCC"/>
          </w:tcPr>
          <w:p w:rsidR="00815140" w:rsidRPr="00281750" w:rsidRDefault="007423C5" w:rsidP="007423C5">
            <w:pPr>
              <w:jc w:val="center"/>
              <w:rPr>
                <w:b/>
              </w:rPr>
            </w:pPr>
            <w:r w:rsidRPr="00281750">
              <w:rPr>
                <w:b/>
              </w:rPr>
              <w:lastRenderedPageBreak/>
              <w:t xml:space="preserve">LARGE SCHOOL </w:t>
            </w:r>
            <w:r w:rsidRPr="00281750">
              <w:rPr>
                <w:b/>
                <w:i/>
              </w:rPr>
              <w:t>(ONE OR MORE YEAR LEVEL GRADES PER AGE GROUP)</w:t>
            </w:r>
          </w:p>
        </w:tc>
      </w:tr>
      <w:tr w:rsidR="000B27FD">
        <w:tc>
          <w:tcPr>
            <w:tcW w:w="1575" w:type="dxa"/>
          </w:tcPr>
          <w:p w:rsidR="000B27FD" w:rsidRDefault="000B27FD">
            <w:r>
              <w:t>Transition</w:t>
            </w:r>
          </w:p>
          <w:p w:rsidR="000B27FD" w:rsidRDefault="000B27FD">
            <w:r>
              <w:t>(5 yrs)</w:t>
            </w:r>
          </w:p>
        </w:tc>
        <w:tc>
          <w:tcPr>
            <w:tcW w:w="1575" w:type="dxa"/>
          </w:tcPr>
          <w:p w:rsidR="000B27FD" w:rsidRDefault="000B27FD">
            <w:r>
              <w:t>Year 1</w:t>
            </w:r>
          </w:p>
          <w:p w:rsidR="000B27FD" w:rsidRDefault="000B27FD">
            <w:r>
              <w:t>(6 yrs)</w:t>
            </w:r>
          </w:p>
        </w:tc>
        <w:tc>
          <w:tcPr>
            <w:tcW w:w="1575" w:type="dxa"/>
          </w:tcPr>
          <w:p w:rsidR="000B27FD" w:rsidRDefault="000B27FD">
            <w:r>
              <w:t>Year 2</w:t>
            </w:r>
          </w:p>
          <w:p w:rsidR="000B27FD" w:rsidRDefault="000B27FD">
            <w:r>
              <w:t>(7 yrs)</w:t>
            </w:r>
          </w:p>
        </w:tc>
        <w:tc>
          <w:tcPr>
            <w:tcW w:w="1575" w:type="dxa"/>
          </w:tcPr>
          <w:p w:rsidR="000B27FD" w:rsidRDefault="000B27FD">
            <w:r>
              <w:t>Year 3</w:t>
            </w:r>
          </w:p>
          <w:p w:rsidR="000B27FD" w:rsidRDefault="000B27FD">
            <w:r>
              <w:t>(8 yrs)</w:t>
            </w:r>
          </w:p>
        </w:tc>
        <w:tc>
          <w:tcPr>
            <w:tcW w:w="1575" w:type="dxa"/>
          </w:tcPr>
          <w:p w:rsidR="000B27FD" w:rsidRDefault="000B27FD">
            <w:r>
              <w:t>Year 4</w:t>
            </w:r>
          </w:p>
          <w:p w:rsidR="000B27FD" w:rsidRDefault="000B27FD">
            <w:r>
              <w:t>(9 yrs)</w:t>
            </w:r>
          </w:p>
        </w:tc>
        <w:tc>
          <w:tcPr>
            <w:tcW w:w="1575" w:type="dxa"/>
          </w:tcPr>
          <w:p w:rsidR="000B27FD" w:rsidRDefault="000B27FD">
            <w:r>
              <w:t>Year 5</w:t>
            </w:r>
          </w:p>
          <w:p w:rsidR="000B27FD" w:rsidRDefault="000B27FD">
            <w:r>
              <w:t>(10 yrs)</w:t>
            </w:r>
          </w:p>
        </w:tc>
        <w:tc>
          <w:tcPr>
            <w:tcW w:w="1575" w:type="dxa"/>
          </w:tcPr>
          <w:p w:rsidR="000B27FD" w:rsidRDefault="000B27FD">
            <w:r>
              <w:t>Year 6</w:t>
            </w:r>
          </w:p>
          <w:p w:rsidR="000B27FD" w:rsidRDefault="000B27FD">
            <w:r>
              <w:t>(11 yrs)</w:t>
            </w:r>
          </w:p>
        </w:tc>
        <w:tc>
          <w:tcPr>
            <w:tcW w:w="1575" w:type="dxa"/>
          </w:tcPr>
          <w:p w:rsidR="000B27FD" w:rsidRDefault="000B27FD">
            <w:r>
              <w:t>Year 7, 8, 9</w:t>
            </w:r>
          </w:p>
          <w:p w:rsidR="000B27FD" w:rsidRDefault="000B27FD">
            <w:r>
              <w:t>Middle Years</w:t>
            </w:r>
          </w:p>
          <w:p w:rsidR="000B27FD" w:rsidRDefault="000B27FD">
            <w:r>
              <w:t>(12 - 14yrs)</w:t>
            </w:r>
          </w:p>
        </w:tc>
        <w:tc>
          <w:tcPr>
            <w:tcW w:w="1576" w:type="dxa"/>
          </w:tcPr>
          <w:p w:rsidR="000B27FD" w:rsidRDefault="000B27FD" w:rsidP="003D48E7">
            <w:r>
              <w:t>Senior Secondary</w:t>
            </w:r>
          </w:p>
          <w:p w:rsidR="000B27FD" w:rsidRDefault="000B27FD" w:rsidP="003D48E7">
            <w:r>
              <w:t>(15 – 17yrs)</w:t>
            </w:r>
          </w:p>
        </w:tc>
      </w:tr>
      <w:tr w:rsidR="007423C5">
        <w:tc>
          <w:tcPr>
            <w:tcW w:w="1575" w:type="dxa"/>
          </w:tcPr>
          <w:p w:rsidR="007423C5" w:rsidRDefault="007423C5" w:rsidP="00815140">
            <w:r w:rsidRPr="0083549D">
              <w:rPr>
                <w:b/>
                <w:i/>
              </w:rPr>
              <w:t>Three to Four</w:t>
            </w:r>
            <w:r>
              <w:t xml:space="preserve"> text</w:t>
            </w:r>
            <w:r w:rsidR="000F5193">
              <w:t xml:space="preserve"> </w:t>
            </w:r>
            <w:r>
              <w:t>-based units of work per term</w:t>
            </w:r>
          </w:p>
          <w:p w:rsidR="007423C5" w:rsidRDefault="007423C5"/>
        </w:tc>
        <w:tc>
          <w:tcPr>
            <w:tcW w:w="1575" w:type="dxa"/>
          </w:tcPr>
          <w:p w:rsidR="007423C5" w:rsidRDefault="007423C5" w:rsidP="00FC10BE">
            <w:r>
              <w:t xml:space="preserve">Generally </w:t>
            </w:r>
            <w:r>
              <w:rPr>
                <w:b/>
                <w:i/>
              </w:rPr>
              <w:t>Three</w:t>
            </w:r>
            <w:r>
              <w:t xml:space="preserve"> text-based units of </w:t>
            </w:r>
            <w:r w:rsidR="009A23A7">
              <w:t>work per</w:t>
            </w:r>
            <w:r>
              <w:t xml:space="preserve"> term.</w:t>
            </w:r>
          </w:p>
          <w:p w:rsidR="007423C5" w:rsidRDefault="007423C5" w:rsidP="00FC10BE"/>
          <w:p w:rsidR="007423C5" w:rsidRPr="00033E6C" w:rsidRDefault="007423C5" w:rsidP="00FC10BE">
            <w:pPr>
              <w:rPr>
                <w:i/>
                <w:sz w:val="20"/>
                <w:szCs w:val="20"/>
              </w:rPr>
            </w:pPr>
            <w:r w:rsidRPr="00033E6C">
              <w:rPr>
                <w:i/>
                <w:sz w:val="20"/>
                <w:szCs w:val="20"/>
              </w:rPr>
              <w:t>(Where a new unit is started in Week 10, carry this over the break)</w:t>
            </w:r>
          </w:p>
          <w:p w:rsidR="007423C5" w:rsidRDefault="007423C5"/>
        </w:tc>
        <w:tc>
          <w:tcPr>
            <w:tcW w:w="1575" w:type="dxa"/>
          </w:tcPr>
          <w:p w:rsidR="007423C5" w:rsidRDefault="007423C5" w:rsidP="00FC10BE">
            <w:r>
              <w:rPr>
                <w:b/>
                <w:i/>
              </w:rPr>
              <w:t>Two to three</w:t>
            </w:r>
            <w:r>
              <w:t xml:space="preserve"> text-based units of work  per term</w:t>
            </w:r>
          </w:p>
          <w:p w:rsidR="00033E6C" w:rsidRDefault="00033E6C" w:rsidP="00FC10BE"/>
          <w:p w:rsidR="00033E6C" w:rsidRDefault="00033E6C" w:rsidP="00FC10BE"/>
          <w:p w:rsidR="00D76BFA" w:rsidRPr="00033E6C" w:rsidRDefault="00D76BFA" w:rsidP="00D76BFA">
            <w:pPr>
              <w:rPr>
                <w:sz w:val="20"/>
                <w:szCs w:val="20"/>
              </w:rPr>
            </w:pPr>
            <w:r w:rsidRPr="00033E6C">
              <w:rPr>
                <w:i/>
                <w:sz w:val="20"/>
                <w:szCs w:val="20"/>
              </w:rPr>
              <w:t>(Where a new unit is started in late in the Term carry this over the break)</w:t>
            </w:r>
          </w:p>
          <w:p w:rsidR="007423C5" w:rsidRDefault="007423C5"/>
        </w:tc>
        <w:tc>
          <w:tcPr>
            <w:tcW w:w="1575" w:type="dxa"/>
          </w:tcPr>
          <w:p w:rsidR="007423C5" w:rsidRDefault="007423C5" w:rsidP="00FC10BE">
            <w:r>
              <w:rPr>
                <w:b/>
                <w:i/>
              </w:rPr>
              <w:t>Two to three</w:t>
            </w:r>
            <w:r>
              <w:t xml:space="preserve"> text-based units of work  per term</w:t>
            </w:r>
          </w:p>
          <w:p w:rsidR="00033E6C" w:rsidRDefault="00033E6C" w:rsidP="00FC10BE"/>
          <w:p w:rsidR="00033E6C" w:rsidRDefault="00033E6C" w:rsidP="00FC10BE"/>
          <w:p w:rsidR="007423C5" w:rsidRPr="00033E6C" w:rsidRDefault="00D76BFA">
            <w:pPr>
              <w:rPr>
                <w:sz w:val="20"/>
                <w:szCs w:val="20"/>
              </w:rPr>
            </w:pPr>
            <w:r w:rsidRPr="00033E6C">
              <w:rPr>
                <w:i/>
                <w:sz w:val="20"/>
                <w:szCs w:val="20"/>
              </w:rPr>
              <w:t>(Where a new unit is started in late in the Term carry this over the break)</w:t>
            </w:r>
          </w:p>
        </w:tc>
        <w:tc>
          <w:tcPr>
            <w:tcW w:w="1575" w:type="dxa"/>
          </w:tcPr>
          <w:p w:rsidR="007423C5" w:rsidRDefault="007423C5" w:rsidP="00FC10BE">
            <w:r>
              <w:rPr>
                <w:b/>
                <w:i/>
              </w:rPr>
              <w:t>Two</w:t>
            </w:r>
            <w:r>
              <w:t xml:space="preserve"> text-based units of work  per term (4 – 6 weeks per text)</w:t>
            </w:r>
          </w:p>
          <w:p w:rsidR="007423C5" w:rsidRPr="00033E6C" w:rsidRDefault="00D00C5A">
            <w:pPr>
              <w:rPr>
                <w:i/>
                <w:sz w:val="20"/>
                <w:szCs w:val="20"/>
              </w:rPr>
            </w:pPr>
            <w:r>
              <w:rPr>
                <w:i/>
                <w:sz w:val="20"/>
                <w:szCs w:val="20"/>
              </w:rPr>
              <w:t>(B</w:t>
            </w:r>
            <w:r w:rsidR="007423C5" w:rsidRPr="00033E6C">
              <w:rPr>
                <w:i/>
                <w:sz w:val="20"/>
                <w:szCs w:val="20"/>
              </w:rPr>
              <w:t>etween 3 and 5 units of work in a Semester, carrying units of work over the breaks)</w:t>
            </w:r>
          </w:p>
        </w:tc>
        <w:tc>
          <w:tcPr>
            <w:tcW w:w="1575" w:type="dxa"/>
          </w:tcPr>
          <w:p w:rsidR="007423C5" w:rsidRDefault="007423C5" w:rsidP="00815140">
            <w:r>
              <w:t xml:space="preserve">Each  text for between </w:t>
            </w:r>
            <w:r>
              <w:rPr>
                <w:b/>
                <w:i/>
              </w:rPr>
              <w:t>4 – 7 weeks</w:t>
            </w:r>
            <w:r>
              <w:t xml:space="preserve"> </w:t>
            </w:r>
          </w:p>
          <w:p w:rsidR="00033E6C" w:rsidRDefault="00033E6C" w:rsidP="00815140"/>
          <w:p w:rsidR="00033E6C" w:rsidRDefault="00033E6C" w:rsidP="00815140"/>
          <w:p w:rsidR="00033E6C" w:rsidRDefault="00033E6C" w:rsidP="00815140"/>
          <w:p w:rsidR="007423C5" w:rsidRPr="00033E6C" w:rsidRDefault="00D00C5A" w:rsidP="00815140">
            <w:pPr>
              <w:rPr>
                <w:i/>
                <w:sz w:val="20"/>
                <w:szCs w:val="20"/>
              </w:rPr>
            </w:pPr>
            <w:r>
              <w:rPr>
                <w:i/>
                <w:sz w:val="20"/>
                <w:szCs w:val="20"/>
              </w:rPr>
              <w:t>(B</w:t>
            </w:r>
            <w:r w:rsidR="007423C5" w:rsidRPr="00033E6C">
              <w:rPr>
                <w:i/>
                <w:sz w:val="20"/>
                <w:szCs w:val="20"/>
              </w:rPr>
              <w:t>etween 3 and 5 units of work in a Semester, carrying units of work over the breaks)</w:t>
            </w:r>
          </w:p>
          <w:p w:rsidR="007423C5" w:rsidRDefault="007423C5"/>
        </w:tc>
        <w:tc>
          <w:tcPr>
            <w:tcW w:w="1575" w:type="dxa"/>
          </w:tcPr>
          <w:p w:rsidR="007423C5" w:rsidRDefault="007423C5" w:rsidP="00815140">
            <w:pPr>
              <w:rPr>
                <w:b/>
                <w:i/>
              </w:rPr>
            </w:pPr>
            <w:r>
              <w:t xml:space="preserve">Each text for between </w:t>
            </w:r>
            <w:r>
              <w:rPr>
                <w:b/>
                <w:i/>
              </w:rPr>
              <w:t>6-</w:t>
            </w:r>
            <w:r w:rsidR="000B27FD">
              <w:rPr>
                <w:b/>
                <w:i/>
              </w:rPr>
              <w:t>10</w:t>
            </w:r>
            <w:r>
              <w:rPr>
                <w:b/>
                <w:i/>
              </w:rPr>
              <w:t xml:space="preserve"> weeks</w:t>
            </w:r>
          </w:p>
          <w:p w:rsidR="00033E6C" w:rsidRDefault="00033E6C" w:rsidP="00815140">
            <w:pPr>
              <w:rPr>
                <w:b/>
                <w:i/>
              </w:rPr>
            </w:pPr>
          </w:p>
          <w:p w:rsidR="00033E6C" w:rsidRDefault="00033E6C" w:rsidP="00815140">
            <w:pPr>
              <w:rPr>
                <w:b/>
                <w:i/>
              </w:rPr>
            </w:pPr>
          </w:p>
          <w:p w:rsidR="00033E6C" w:rsidRDefault="00033E6C" w:rsidP="00815140">
            <w:pPr>
              <w:rPr>
                <w:b/>
                <w:i/>
              </w:rPr>
            </w:pPr>
          </w:p>
          <w:p w:rsidR="007423C5" w:rsidRPr="00033E6C" w:rsidRDefault="00D00C5A" w:rsidP="00815140">
            <w:pPr>
              <w:rPr>
                <w:sz w:val="20"/>
                <w:szCs w:val="20"/>
              </w:rPr>
            </w:pPr>
            <w:r>
              <w:rPr>
                <w:i/>
                <w:sz w:val="20"/>
                <w:szCs w:val="20"/>
              </w:rPr>
              <w:t>(B</w:t>
            </w:r>
            <w:r w:rsidR="007423C5" w:rsidRPr="00033E6C">
              <w:rPr>
                <w:i/>
                <w:sz w:val="20"/>
                <w:szCs w:val="20"/>
              </w:rPr>
              <w:t>etween 2.5 –3.5 units of work in a Semester, starting the new Term/Semester’s</w:t>
            </w:r>
            <w:r w:rsidR="007423C5" w:rsidRPr="00033E6C">
              <w:rPr>
                <w:b/>
                <w:i/>
                <w:sz w:val="20"/>
                <w:szCs w:val="20"/>
              </w:rPr>
              <w:t xml:space="preserve"> </w:t>
            </w:r>
            <w:r w:rsidR="007423C5" w:rsidRPr="00033E6C">
              <w:rPr>
                <w:i/>
                <w:sz w:val="20"/>
                <w:szCs w:val="20"/>
              </w:rPr>
              <w:t>unit at the end of the previous Term/Semester)</w:t>
            </w:r>
          </w:p>
          <w:p w:rsidR="007423C5" w:rsidRDefault="007423C5"/>
        </w:tc>
        <w:tc>
          <w:tcPr>
            <w:tcW w:w="1575" w:type="dxa"/>
          </w:tcPr>
          <w:p w:rsidR="00033E6C" w:rsidRDefault="007423C5">
            <w:pPr>
              <w:rPr>
                <w:b/>
                <w:i/>
              </w:rPr>
            </w:pPr>
            <w:r>
              <w:t xml:space="preserve">Each text for between </w:t>
            </w:r>
            <w:r>
              <w:rPr>
                <w:b/>
                <w:i/>
              </w:rPr>
              <w:t xml:space="preserve">8 – 10 weeks </w:t>
            </w:r>
          </w:p>
          <w:p w:rsidR="00033E6C" w:rsidRDefault="00033E6C">
            <w:pPr>
              <w:rPr>
                <w:b/>
                <w:i/>
              </w:rPr>
            </w:pPr>
          </w:p>
          <w:p w:rsidR="00033E6C" w:rsidRDefault="00033E6C">
            <w:pPr>
              <w:rPr>
                <w:b/>
                <w:i/>
              </w:rPr>
            </w:pPr>
          </w:p>
          <w:p w:rsidR="00033E6C" w:rsidRDefault="00033E6C">
            <w:pPr>
              <w:rPr>
                <w:b/>
                <w:i/>
              </w:rPr>
            </w:pPr>
          </w:p>
          <w:p w:rsidR="007423C5" w:rsidRDefault="00D00C5A">
            <w:r>
              <w:rPr>
                <w:i/>
                <w:sz w:val="20"/>
                <w:szCs w:val="20"/>
              </w:rPr>
              <w:t>(B</w:t>
            </w:r>
            <w:r w:rsidR="007423C5" w:rsidRPr="00033E6C">
              <w:rPr>
                <w:i/>
                <w:sz w:val="20"/>
                <w:szCs w:val="20"/>
              </w:rPr>
              <w:t>etween 2 -2.5 units of work in a semester, beginning a new unit of work towards the end of the previous term/semester when required)</w:t>
            </w:r>
          </w:p>
        </w:tc>
        <w:tc>
          <w:tcPr>
            <w:tcW w:w="1576" w:type="dxa"/>
          </w:tcPr>
          <w:p w:rsidR="007423C5" w:rsidRDefault="007423C5" w:rsidP="003D48E7">
            <w:pPr>
              <w:rPr>
                <w:b/>
                <w:i/>
              </w:rPr>
            </w:pPr>
            <w:r>
              <w:t xml:space="preserve">Each text for between </w:t>
            </w:r>
            <w:r>
              <w:rPr>
                <w:b/>
                <w:i/>
              </w:rPr>
              <w:t>10 – 15 weeks</w:t>
            </w:r>
          </w:p>
          <w:p w:rsidR="00033E6C" w:rsidRDefault="00033E6C" w:rsidP="003D48E7">
            <w:pPr>
              <w:rPr>
                <w:b/>
                <w:i/>
              </w:rPr>
            </w:pPr>
          </w:p>
          <w:p w:rsidR="00033E6C" w:rsidRDefault="00033E6C" w:rsidP="003D48E7">
            <w:pPr>
              <w:rPr>
                <w:b/>
                <w:i/>
              </w:rPr>
            </w:pPr>
          </w:p>
          <w:p w:rsidR="00033E6C" w:rsidRDefault="00033E6C" w:rsidP="003D48E7"/>
          <w:p w:rsidR="007423C5" w:rsidRPr="00033E6C" w:rsidRDefault="007423C5" w:rsidP="007423C5">
            <w:pPr>
              <w:rPr>
                <w:sz w:val="20"/>
                <w:szCs w:val="20"/>
              </w:rPr>
            </w:pPr>
            <w:r>
              <w:t xml:space="preserve"> </w:t>
            </w:r>
            <w:r w:rsidRPr="00033E6C">
              <w:rPr>
                <w:i/>
                <w:sz w:val="20"/>
                <w:szCs w:val="20"/>
              </w:rPr>
              <w:t>(1 – 1.5  units of work in a semester, beginning a new unit of work towards the end of the previous term/semester when required)</w:t>
            </w:r>
          </w:p>
        </w:tc>
      </w:tr>
    </w:tbl>
    <w:p w:rsidR="0020088F" w:rsidRDefault="0020088F">
      <w:r>
        <w:br w:type="page"/>
      </w:r>
    </w:p>
    <w:tbl>
      <w:tblPr>
        <w:tblStyle w:val="TableGrid"/>
        <w:tblW w:w="0" w:type="auto"/>
        <w:tblLook w:val="01E0" w:firstRow="1" w:lastRow="1" w:firstColumn="1" w:lastColumn="1" w:noHBand="0" w:noVBand="0"/>
      </w:tblPr>
      <w:tblGrid>
        <w:gridCol w:w="5304"/>
        <w:gridCol w:w="4551"/>
        <w:gridCol w:w="4321"/>
      </w:tblGrid>
      <w:tr w:rsidR="007423C5">
        <w:tc>
          <w:tcPr>
            <w:tcW w:w="14176" w:type="dxa"/>
            <w:gridSpan w:val="3"/>
            <w:shd w:val="clear" w:color="auto" w:fill="CCCCCC"/>
          </w:tcPr>
          <w:p w:rsidR="007423C5" w:rsidRPr="007423C5" w:rsidRDefault="007423C5" w:rsidP="007423C5">
            <w:pPr>
              <w:jc w:val="center"/>
              <w:rPr>
                <w:b/>
              </w:rPr>
            </w:pPr>
            <w:r w:rsidRPr="007423C5">
              <w:rPr>
                <w:b/>
              </w:rPr>
              <w:lastRenderedPageBreak/>
              <w:t>SMALL SCHOOLS/MULT-AGE CLASSES</w:t>
            </w:r>
          </w:p>
        </w:tc>
      </w:tr>
      <w:tr w:rsidR="007423C5">
        <w:tc>
          <w:tcPr>
            <w:tcW w:w="5304" w:type="dxa"/>
          </w:tcPr>
          <w:p w:rsidR="007423C5" w:rsidRDefault="007423C5" w:rsidP="003D48E7">
            <w:r>
              <w:t>Transition/Year 1/Year 2/Year 3</w:t>
            </w:r>
          </w:p>
        </w:tc>
        <w:tc>
          <w:tcPr>
            <w:tcW w:w="4551" w:type="dxa"/>
          </w:tcPr>
          <w:p w:rsidR="007423C5" w:rsidRDefault="007423C5" w:rsidP="003D48E7">
            <w:r>
              <w:t>Year 4/Year 5/Year 6</w:t>
            </w:r>
          </w:p>
        </w:tc>
        <w:tc>
          <w:tcPr>
            <w:tcW w:w="4321" w:type="dxa"/>
          </w:tcPr>
          <w:p w:rsidR="007423C5" w:rsidRDefault="007423C5" w:rsidP="003D48E7">
            <w:r>
              <w:t>Middle Years</w:t>
            </w:r>
          </w:p>
          <w:p w:rsidR="007423C5" w:rsidRDefault="007423C5"/>
        </w:tc>
      </w:tr>
      <w:tr w:rsidR="007423C5">
        <w:tc>
          <w:tcPr>
            <w:tcW w:w="5304" w:type="dxa"/>
          </w:tcPr>
          <w:p w:rsidR="007423C5" w:rsidRDefault="007423C5" w:rsidP="00FC10BE">
            <w:r>
              <w:t xml:space="preserve">Generally </w:t>
            </w:r>
            <w:r>
              <w:rPr>
                <w:b/>
                <w:i/>
              </w:rPr>
              <w:t>Three</w:t>
            </w:r>
            <w:r>
              <w:t xml:space="preserve"> text-based units of </w:t>
            </w:r>
            <w:r w:rsidR="009A23A7">
              <w:t>work per</w:t>
            </w:r>
            <w:r>
              <w:t xml:space="preserve"> term.</w:t>
            </w:r>
          </w:p>
          <w:p w:rsidR="007423C5" w:rsidRDefault="007423C5" w:rsidP="00FC10BE">
            <w:r>
              <w:t>Where the daily timetable is organised so that two language teaching groups (two different text-based units of work) are catered for….</w:t>
            </w:r>
          </w:p>
          <w:p w:rsidR="007423C5" w:rsidRDefault="007423C5" w:rsidP="003D48E7"/>
        </w:tc>
        <w:tc>
          <w:tcPr>
            <w:tcW w:w="4551" w:type="dxa"/>
          </w:tcPr>
          <w:p w:rsidR="007423C5" w:rsidRDefault="007423C5" w:rsidP="009152BB">
            <w:r>
              <w:t xml:space="preserve">Each  text for between </w:t>
            </w:r>
            <w:r>
              <w:rPr>
                <w:b/>
                <w:i/>
              </w:rPr>
              <w:t>4 – 7 weeks</w:t>
            </w:r>
            <w:r>
              <w:t xml:space="preserve"> </w:t>
            </w:r>
          </w:p>
          <w:p w:rsidR="007423C5" w:rsidRPr="009D49F8" w:rsidRDefault="006A425F" w:rsidP="009152BB">
            <w:pPr>
              <w:rPr>
                <w:i/>
              </w:rPr>
            </w:pPr>
            <w:r>
              <w:rPr>
                <w:i/>
              </w:rPr>
              <w:t>(B</w:t>
            </w:r>
            <w:r w:rsidR="007423C5" w:rsidRPr="009D49F8">
              <w:rPr>
                <w:i/>
              </w:rPr>
              <w:t xml:space="preserve">etween 3 and </w:t>
            </w:r>
            <w:r w:rsidR="007423C5">
              <w:rPr>
                <w:i/>
              </w:rPr>
              <w:t>5 units of work in a Semester, carrying units of work over the breaks)</w:t>
            </w:r>
          </w:p>
          <w:p w:rsidR="007423C5" w:rsidRDefault="007423C5" w:rsidP="003D48E7"/>
        </w:tc>
        <w:tc>
          <w:tcPr>
            <w:tcW w:w="4321" w:type="dxa"/>
          </w:tcPr>
          <w:p w:rsidR="00D76BFA" w:rsidRDefault="00D76BFA" w:rsidP="00D76BFA">
            <w:r>
              <w:t xml:space="preserve">Each text for between </w:t>
            </w:r>
            <w:r>
              <w:rPr>
                <w:b/>
                <w:i/>
              </w:rPr>
              <w:t>10 – 15 weeks.</w:t>
            </w:r>
          </w:p>
          <w:p w:rsidR="007423C5" w:rsidRDefault="00D76BFA" w:rsidP="00D76BFA">
            <w:r>
              <w:t xml:space="preserve"> </w:t>
            </w:r>
            <w:r>
              <w:rPr>
                <w:i/>
              </w:rPr>
              <w:t>(1 – 1.5  units of work in a semester, beginning a new unit of work towards the end of the previous term/semester when required)</w:t>
            </w:r>
          </w:p>
        </w:tc>
      </w:tr>
    </w:tbl>
    <w:p w:rsidR="0020088F" w:rsidRDefault="0020088F"/>
    <w:tbl>
      <w:tblPr>
        <w:tblStyle w:val="TableGrid"/>
        <w:tblW w:w="0" w:type="auto"/>
        <w:tblLook w:val="01E0" w:firstRow="1" w:lastRow="1" w:firstColumn="1" w:lastColumn="1" w:noHBand="0" w:noVBand="0"/>
      </w:tblPr>
      <w:tblGrid>
        <w:gridCol w:w="2739"/>
        <w:gridCol w:w="2565"/>
        <w:gridCol w:w="2721"/>
        <w:gridCol w:w="1830"/>
        <w:gridCol w:w="4321"/>
      </w:tblGrid>
      <w:tr w:rsidR="00FF3693">
        <w:tc>
          <w:tcPr>
            <w:tcW w:w="14176" w:type="dxa"/>
            <w:gridSpan w:val="5"/>
            <w:shd w:val="clear" w:color="auto" w:fill="CCCCCC"/>
          </w:tcPr>
          <w:p w:rsidR="00FF3693" w:rsidRPr="00FF3693" w:rsidRDefault="00FF3693" w:rsidP="00FF3693">
            <w:pPr>
              <w:jc w:val="center"/>
              <w:rPr>
                <w:b/>
              </w:rPr>
            </w:pPr>
            <w:r w:rsidRPr="00FF3693">
              <w:rPr>
                <w:b/>
              </w:rPr>
              <w:t>SCHOOLS WITH COMPOSITE CLASSES</w:t>
            </w:r>
          </w:p>
        </w:tc>
      </w:tr>
      <w:tr w:rsidR="00FF3693">
        <w:tc>
          <w:tcPr>
            <w:tcW w:w="2739" w:type="dxa"/>
          </w:tcPr>
          <w:p w:rsidR="00FF3693" w:rsidRDefault="00FF3693" w:rsidP="002677A3">
            <w:pPr>
              <w:jc w:val="center"/>
            </w:pPr>
            <w:r w:rsidRPr="00FB57BD">
              <w:t>T/1</w:t>
            </w:r>
          </w:p>
        </w:tc>
        <w:tc>
          <w:tcPr>
            <w:tcW w:w="2565" w:type="dxa"/>
          </w:tcPr>
          <w:p w:rsidR="00FF3693" w:rsidRDefault="00FF3693" w:rsidP="003D48E7">
            <w:r>
              <w:t>Yr 2/3</w:t>
            </w:r>
          </w:p>
        </w:tc>
        <w:tc>
          <w:tcPr>
            <w:tcW w:w="2721" w:type="dxa"/>
          </w:tcPr>
          <w:p w:rsidR="00FF3693" w:rsidRDefault="00FF3693" w:rsidP="003D48E7">
            <w:r>
              <w:t>Yr 4/5</w:t>
            </w:r>
          </w:p>
        </w:tc>
        <w:tc>
          <w:tcPr>
            <w:tcW w:w="1830" w:type="dxa"/>
          </w:tcPr>
          <w:p w:rsidR="00FF3693" w:rsidRDefault="00FF3693" w:rsidP="003D48E7">
            <w:r>
              <w:t>Yr 6/7</w:t>
            </w:r>
          </w:p>
        </w:tc>
        <w:tc>
          <w:tcPr>
            <w:tcW w:w="4321" w:type="dxa"/>
          </w:tcPr>
          <w:p w:rsidR="00FF3693" w:rsidRDefault="00FF3693">
            <w:r>
              <w:t>Middle and Senior Secondary</w:t>
            </w:r>
          </w:p>
        </w:tc>
      </w:tr>
      <w:tr w:rsidR="00281750">
        <w:tc>
          <w:tcPr>
            <w:tcW w:w="2739" w:type="dxa"/>
          </w:tcPr>
          <w:p w:rsidR="00281750" w:rsidRDefault="00281750" w:rsidP="002677A3">
            <w:r w:rsidRPr="0083549D">
              <w:rPr>
                <w:b/>
                <w:i/>
              </w:rPr>
              <w:t>Three to Four</w:t>
            </w:r>
            <w:r>
              <w:t xml:space="preserve"> text-based units of work per term</w:t>
            </w:r>
          </w:p>
          <w:p w:rsidR="00281750" w:rsidRPr="00FB57BD" w:rsidRDefault="00281750" w:rsidP="002677A3">
            <w:pPr>
              <w:jc w:val="center"/>
            </w:pPr>
          </w:p>
        </w:tc>
        <w:tc>
          <w:tcPr>
            <w:tcW w:w="2565" w:type="dxa"/>
          </w:tcPr>
          <w:p w:rsidR="00281750" w:rsidRDefault="00281750" w:rsidP="002677A3">
            <w:r>
              <w:rPr>
                <w:b/>
                <w:i/>
              </w:rPr>
              <w:t>Two to three</w:t>
            </w:r>
            <w:r>
              <w:t xml:space="preserve"> text-based units of work  per term</w:t>
            </w:r>
          </w:p>
          <w:p w:rsidR="00281750" w:rsidRDefault="00281750" w:rsidP="003D48E7"/>
        </w:tc>
        <w:tc>
          <w:tcPr>
            <w:tcW w:w="2721" w:type="dxa"/>
          </w:tcPr>
          <w:p w:rsidR="00281750" w:rsidRDefault="00281750" w:rsidP="00281750">
            <w:r>
              <w:t xml:space="preserve">Each  text for between </w:t>
            </w:r>
            <w:r>
              <w:rPr>
                <w:b/>
                <w:i/>
              </w:rPr>
              <w:t>4 – 7 weeks</w:t>
            </w:r>
            <w:r>
              <w:t xml:space="preserve"> </w:t>
            </w:r>
          </w:p>
          <w:p w:rsidR="006A425F" w:rsidRDefault="006A425F" w:rsidP="00281750"/>
          <w:p w:rsidR="00281750" w:rsidRPr="009D49F8" w:rsidRDefault="006A425F" w:rsidP="00281750">
            <w:pPr>
              <w:rPr>
                <w:i/>
              </w:rPr>
            </w:pPr>
            <w:r>
              <w:rPr>
                <w:i/>
              </w:rPr>
              <w:t>(B</w:t>
            </w:r>
            <w:r w:rsidR="00281750" w:rsidRPr="009D49F8">
              <w:rPr>
                <w:i/>
              </w:rPr>
              <w:t xml:space="preserve">etween 3 and </w:t>
            </w:r>
            <w:r w:rsidR="00281750">
              <w:rPr>
                <w:i/>
              </w:rPr>
              <w:t>5 units of work in a Semester, carrying units of work over the breaks)</w:t>
            </w:r>
          </w:p>
          <w:p w:rsidR="00281750" w:rsidRDefault="00281750" w:rsidP="003D48E7"/>
        </w:tc>
        <w:tc>
          <w:tcPr>
            <w:tcW w:w="1830" w:type="dxa"/>
          </w:tcPr>
          <w:p w:rsidR="006A425F" w:rsidRDefault="00281750" w:rsidP="003D48E7">
            <w:pPr>
              <w:rPr>
                <w:b/>
                <w:i/>
              </w:rPr>
            </w:pPr>
            <w:r>
              <w:t xml:space="preserve">Each text for between </w:t>
            </w:r>
            <w:r>
              <w:rPr>
                <w:b/>
                <w:i/>
              </w:rPr>
              <w:t xml:space="preserve">8 – 10 weeks </w:t>
            </w:r>
          </w:p>
          <w:p w:rsidR="00281750" w:rsidRDefault="00281750" w:rsidP="003D48E7">
            <w:r>
              <w:rPr>
                <w:i/>
              </w:rPr>
              <w:t>(</w:t>
            </w:r>
            <w:r w:rsidR="006A425F">
              <w:rPr>
                <w:i/>
              </w:rPr>
              <w:t>B</w:t>
            </w:r>
            <w:r>
              <w:rPr>
                <w:i/>
              </w:rPr>
              <w:t>etween 2 -2.5 units of work in a semester, beginning a new unit of work towards the end of the previous term/semester when required)</w:t>
            </w:r>
          </w:p>
        </w:tc>
        <w:tc>
          <w:tcPr>
            <w:tcW w:w="4321" w:type="dxa"/>
          </w:tcPr>
          <w:p w:rsidR="00D76BFA" w:rsidRDefault="00D76BFA" w:rsidP="00D76BFA">
            <w:r>
              <w:t xml:space="preserve">Each text for between </w:t>
            </w:r>
            <w:r>
              <w:rPr>
                <w:b/>
                <w:i/>
              </w:rPr>
              <w:t>10 – 15 weeks.</w:t>
            </w:r>
          </w:p>
          <w:p w:rsidR="006A425F" w:rsidRDefault="00D76BFA" w:rsidP="00D76BFA">
            <w:r>
              <w:t xml:space="preserve"> </w:t>
            </w:r>
          </w:p>
          <w:p w:rsidR="006A425F" w:rsidRDefault="006A425F" w:rsidP="00D76BFA"/>
          <w:p w:rsidR="00281750" w:rsidRDefault="00D76BFA" w:rsidP="00D76BFA">
            <w:r>
              <w:rPr>
                <w:i/>
              </w:rPr>
              <w:t>(1 – 1.5  units of work in a semester, beginning a new unit of work towards the end of the previous term/semester when required)</w:t>
            </w:r>
          </w:p>
        </w:tc>
      </w:tr>
    </w:tbl>
    <w:p w:rsidR="00815140" w:rsidRDefault="00815140"/>
    <w:sectPr w:rsidR="00815140" w:rsidSect="00136625">
      <w:headerReference w:type="default" r:id="rId8"/>
      <w:footerReference w:type="default" r:id="rId9"/>
      <w:pgSz w:w="16840" w:h="11907" w:orient="landscape" w:code="9"/>
      <w:pgMar w:top="1302"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CE" w:rsidRDefault="007A4FCE">
      <w:r>
        <w:separator/>
      </w:r>
    </w:p>
  </w:endnote>
  <w:endnote w:type="continuationSeparator" w:id="0">
    <w:p w:rsidR="007A4FCE" w:rsidRDefault="007A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5" w:rsidRPr="00136625" w:rsidRDefault="00136625">
    <w:pPr>
      <w:pStyle w:val="Footer"/>
      <w:rPr>
        <w:b/>
        <w:i/>
        <w:sz w:val="16"/>
        <w:szCs w:val="16"/>
        <w:lang w:val="en-US"/>
      </w:rPr>
    </w:pPr>
    <w:r w:rsidRPr="00136625">
      <w:rPr>
        <w:b/>
        <w:i/>
        <w:sz w:val="16"/>
        <w:szCs w:val="16"/>
        <w:lang w:val="en-US"/>
      </w:rPr>
      <w:t>© F. Murray, 2006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CE" w:rsidRDefault="007A4FCE">
      <w:r>
        <w:separator/>
      </w:r>
    </w:p>
  </w:footnote>
  <w:footnote w:type="continuationSeparator" w:id="0">
    <w:p w:rsidR="007A4FCE" w:rsidRDefault="007A4FCE">
      <w:r>
        <w:continuationSeparator/>
      </w:r>
    </w:p>
  </w:footnote>
  <w:footnote w:id="1">
    <w:p w:rsidR="008963A5" w:rsidRPr="008963A5" w:rsidRDefault="008963A5">
      <w:pPr>
        <w:pStyle w:val="FootnoteText"/>
        <w:rPr>
          <w:lang w:val="en-US"/>
        </w:rPr>
      </w:pPr>
      <w:r>
        <w:rPr>
          <w:rStyle w:val="FootnoteReference"/>
        </w:rPr>
        <w:footnoteRef/>
      </w:r>
      <w:r>
        <w:t xml:space="preserve"> Realised in the sequence and scaffolded delivery of the exercises and activities.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5" w:rsidRDefault="00DA1122" w:rsidP="00772F80">
    <w:pPr>
      <w:pStyle w:val="Header"/>
      <w:jc w:val="center"/>
      <w:rPr>
        <w:b/>
        <w:i/>
        <w:lang w:val="en-US"/>
      </w:rPr>
    </w:pPr>
    <w:r w:rsidRPr="00772F80">
      <w:rPr>
        <w:b/>
        <w:i/>
        <w:lang w:val="en-US"/>
      </w:rPr>
      <w:t xml:space="preserve">Recommended lengths of WTT units of work based on level of students’ English, </w:t>
    </w:r>
  </w:p>
  <w:p w:rsidR="00DA1122" w:rsidRPr="00772F80" w:rsidRDefault="00102AD8" w:rsidP="00772F80">
    <w:pPr>
      <w:pStyle w:val="Header"/>
      <w:jc w:val="center"/>
      <w:rPr>
        <w:b/>
        <w:i/>
        <w:lang w:val="en-US"/>
      </w:rPr>
    </w:pPr>
    <w:r>
      <w:rPr>
        <w:b/>
        <w:i/>
        <w:lang w:val="en-US"/>
      </w:rPr>
      <w:t>type and length</w:t>
    </w:r>
    <w:r w:rsidR="00DA1122" w:rsidRPr="00772F80">
      <w:rPr>
        <w:b/>
        <w:i/>
        <w:lang w:val="en-US"/>
      </w:rPr>
      <w:t xml:space="preserve"> of texts, and depth of required cross-curricula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2"/>
      </v:shape>
    </w:pict>
  </w:numPicBullet>
  <w:abstractNum w:abstractNumId="0">
    <w:nsid w:val="7D2F3E82"/>
    <w:multiLevelType w:val="hybridMultilevel"/>
    <w:tmpl w:val="9656F1E2"/>
    <w:lvl w:ilvl="0" w:tplc="04090007">
      <w:start w:val="1"/>
      <w:numFmt w:val="bullet"/>
      <w:lvlText w:val=""/>
      <w:lvlPicBulletId w:val="0"/>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4E88"/>
    <w:rsid w:val="00033E6C"/>
    <w:rsid w:val="00061D7E"/>
    <w:rsid w:val="000B27FD"/>
    <w:rsid w:val="000C5C49"/>
    <w:rsid w:val="000F5193"/>
    <w:rsid w:val="00102AD8"/>
    <w:rsid w:val="00136625"/>
    <w:rsid w:val="001768D3"/>
    <w:rsid w:val="0020088F"/>
    <w:rsid w:val="002677A3"/>
    <w:rsid w:val="00281750"/>
    <w:rsid w:val="003042A4"/>
    <w:rsid w:val="003D48E7"/>
    <w:rsid w:val="0044511F"/>
    <w:rsid w:val="004F3CE1"/>
    <w:rsid w:val="006A3F8B"/>
    <w:rsid w:val="006A425F"/>
    <w:rsid w:val="007423C5"/>
    <w:rsid w:val="00772F80"/>
    <w:rsid w:val="00773FEF"/>
    <w:rsid w:val="007A4FCE"/>
    <w:rsid w:val="007B1F8C"/>
    <w:rsid w:val="007E6C35"/>
    <w:rsid w:val="00815140"/>
    <w:rsid w:val="0083549D"/>
    <w:rsid w:val="00863265"/>
    <w:rsid w:val="008963A5"/>
    <w:rsid w:val="008D1AFC"/>
    <w:rsid w:val="009152BB"/>
    <w:rsid w:val="009271DD"/>
    <w:rsid w:val="009A23A7"/>
    <w:rsid w:val="009A250C"/>
    <w:rsid w:val="009D49F8"/>
    <w:rsid w:val="00C730DE"/>
    <w:rsid w:val="00D00C5A"/>
    <w:rsid w:val="00D76BFA"/>
    <w:rsid w:val="00DA1122"/>
    <w:rsid w:val="00E2380E"/>
    <w:rsid w:val="00E3762F"/>
    <w:rsid w:val="00EC71D4"/>
    <w:rsid w:val="00F64E88"/>
    <w:rsid w:val="00FC10BE"/>
    <w:rsid w:val="00FE580E"/>
    <w:rsid w:val="00FF3693"/>
    <w:rsid w:val="00FF39C1"/>
    <w:rsid w:val="00FF7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2F80"/>
    <w:pPr>
      <w:tabs>
        <w:tab w:val="center" w:pos="4320"/>
        <w:tab w:val="right" w:pos="8640"/>
      </w:tabs>
    </w:pPr>
  </w:style>
  <w:style w:type="paragraph" w:styleId="Footer">
    <w:name w:val="footer"/>
    <w:basedOn w:val="Normal"/>
    <w:rsid w:val="00772F80"/>
    <w:pPr>
      <w:tabs>
        <w:tab w:val="center" w:pos="4320"/>
        <w:tab w:val="right" w:pos="8640"/>
      </w:tabs>
    </w:pPr>
  </w:style>
  <w:style w:type="paragraph" w:styleId="FootnoteText">
    <w:name w:val="footnote text"/>
    <w:basedOn w:val="Normal"/>
    <w:semiHidden/>
    <w:rsid w:val="008963A5"/>
    <w:rPr>
      <w:sz w:val="20"/>
      <w:szCs w:val="20"/>
    </w:rPr>
  </w:style>
  <w:style w:type="character" w:styleId="FootnoteReference">
    <w:name w:val="footnote reference"/>
    <w:basedOn w:val="DefaultParagraphFont"/>
    <w:semiHidden/>
    <w:rsid w:val="008963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333">
      <w:bodyDiv w:val="1"/>
      <w:marLeft w:val="0"/>
      <w:marRight w:val="0"/>
      <w:marTop w:val="0"/>
      <w:marBottom w:val="0"/>
      <w:divBdr>
        <w:top w:val="none" w:sz="0" w:space="0" w:color="auto"/>
        <w:left w:val="none" w:sz="0" w:space="0" w:color="auto"/>
        <w:bottom w:val="none" w:sz="0" w:space="0" w:color="auto"/>
        <w:right w:val="none" w:sz="0" w:space="0" w:color="auto"/>
      </w:divBdr>
    </w:div>
    <w:div w:id="238368338">
      <w:bodyDiv w:val="1"/>
      <w:marLeft w:val="0"/>
      <w:marRight w:val="0"/>
      <w:marTop w:val="0"/>
      <w:marBottom w:val="0"/>
      <w:divBdr>
        <w:top w:val="none" w:sz="0" w:space="0" w:color="auto"/>
        <w:left w:val="none" w:sz="0" w:space="0" w:color="auto"/>
        <w:bottom w:val="none" w:sz="0" w:space="0" w:color="auto"/>
        <w:right w:val="none" w:sz="0" w:space="0" w:color="auto"/>
      </w:divBdr>
    </w:div>
    <w:div w:id="495997016">
      <w:bodyDiv w:val="1"/>
      <w:marLeft w:val="0"/>
      <w:marRight w:val="0"/>
      <w:marTop w:val="0"/>
      <w:marBottom w:val="0"/>
      <w:divBdr>
        <w:top w:val="none" w:sz="0" w:space="0" w:color="auto"/>
        <w:left w:val="none" w:sz="0" w:space="0" w:color="auto"/>
        <w:bottom w:val="none" w:sz="0" w:space="0" w:color="auto"/>
        <w:right w:val="none" w:sz="0" w:space="0" w:color="auto"/>
      </w:divBdr>
    </w:div>
    <w:div w:id="1325626041">
      <w:bodyDiv w:val="1"/>
      <w:marLeft w:val="0"/>
      <w:marRight w:val="0"/>
      <w:marTop w:val="0"/>
      <w:marBottom w:val="0"/>
      <w:divBdr>
        <w:top w:val="none" w:sz="0" w:space="0" w:color="auto"/>
        <w:left w:val="none" w:sz="0" w:space="0" w:color="auto"/>
        <w:bottom w:val="none" w:sz="0" w:space="0" w:color="auto"/>
        <w:right w:val="none" w:sz="0" w:space="0" w:color="auto"/>
      </w:divBdr>
    </w:div>
    <w:div w:id="1517188107">
      <w:bodyDiv w:val="1"/>
      <w:marLeft w:val="0"/>
      <w:marRight w:val="0"/>
      <w:marTop w:val="0"/>
      <w:marBottom w:val="0"/>
      <w:divBdr>
        <w:top w:val="none" w:sz="0" w:space="0" w:color="auto"/>
        <w:left w:val="none" w:sz="0" w:space="0" w:color="auto"/>
        <w:bottom w:val="none" w:sz="0" w:space="0" w:color="auto"/>
        <w:right w:val="none" w:sz="0" w:space="0" w:color="auto"/>
      </w:divBdr>
    </w:div>
    <w:div w:id="1716587776">
      <w:bodyDiv w:val="1"/>
      <w:marLeft w:val="0"/>
      <w:marRight w:val="0"/>
      <w:marTop w:val="0"/>
      <w:marBottom w:val="0"/>
      <w:divBdr>
        <w:top w:val="none" w:sz="0" w:space="0" w:color="auto"/>
        <w:left w:val="none" w:sz="0" w:space="0" w:color="auto"/>
        <w:bottom w:val="none" w:sz="0" w:space="0" w:color="auto"/>
        <w:right w:val="none" w:sz="0" w:space="0" w:color="auto"/>
      </w:divBdr>
    </w:div>
    <w:div w:id="1733774721">
      <w:bodyDiv w:val="1"/>
      <w:marLeft w:val="0"/>
      <w:marRight w:val="0"/>
      <w:marTop w:val="0"/>
      <w:marBottom w:val="0"/>
      <w:divBdr>
        <w:top w:val="none" w:sz="0" w:space="0" w:color="auto"/>
        <w:left w:val="none" w:sz="0" w:space="0" w:color="auto"/>
        <w:bottom w:val="none" w:sz="0" w:space="0" w:color="auto"/>
        <w:right w:val="none" w:sz="0" w:space="0" w:color="auto"/>
      </w:divBdr>
    </w:div>
    <w:div w:id="1768621889">
      <w:bodyDiv w:val="1"/>
      <w:marLeft w:val="0"/>
      <w:marRight w:val="0"/>
      <w:marTop w:val="0"/>
      <w:marBottom w:val="0"/>
      <w:divBdr>
        <w:top w:val="none" w:sz="0" w:space="0" w:color="auto"/>
        <w:left w:val="none" w:sz="0" w:space="0" w:color="auto"/>
        <w:bottom w:val="none" w:sz="0" w:space="0" w:color="auto"/>
        <w:right w:val="none" w:sz="0" w:space="0" w:color="auto"/>
      </w:divBdr>
    </w:div>
    <w:div w:id="1822034989">
      <w:bodyDiv w:val="1"/>
      <w:marLeft w:val="0"/>
      <w:marRight w:val="0"/>
      <w:marTop w:val="0"/>
      <w:marBottom w:val="0"/>
      <w:divBdr>
        <w:top w:val="none" w:sz="0" w:space="0" w:color="auto"/>
        <w:left w:val="none" w:sz="0" w:space="0" w:color="auto"/>
        <w:bottom w:val="none" w:sz="0" w:space="0" w:color="auto"/>
        <w:right w:val="none" w:sz="0" w:space="0" w:color="auto"/>
      </w:divBdr>
    </w:div>
    <w:div w:id="1926062643">
      <w:bodyDiv w:val="1"/>
      <w:marLeft w:val="0"/>
      <w:marRight w:val="0"/>
      <w:marTop w:val="0"/>
      <w:marBottom w:val="0"/>
      <w:divBdr>
        <w:top w:val="none" w:sz="0" w:space="0" w:color="auto"/>
        <w:left w:val="none" w:sz="0" w:space="0" w:color="auto"/>
        <w:bottom w:val="none" w:sz="0" w:space="0" w:color="auto"/>
        <w:right w:val="none" w:sz="0" w:space="0" w:color="auto"/>
      </w:divBdr>
    </w:div>
    <w:div w:id="21116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Transition</vt:lpstr>
    </vt:vector>
  </TitlesOfParts>
  <Company>Education Consultant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dc:title>
  <dc:subject/>
  <dc:creator>Frances Murray</dc:creator>
  <cp:keywords/>
  <dc:description/>
  <cp:lastModifiedBy>FRANCES MURRAY</cp:lastModifiedBy>
  <cp:revision>2</cp:revision>
  <dcterms:created xsi:type="dcterms:W3CDTF">2015-06-10T01:32:00Z</dcterms:created>
  <dcterms:modified xsi:type="dcterms:W3CDTF">2015-06-10T01:32:00Z</dcterms:modified>
</cp:coreProperties>
</file>